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R4-2201407</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Te requirements for NR systems extended to 71 GHz</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6.16.7.2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In RAN4 101-e, some</w:t>
      </w:r>
      <w:r>
        <w:rPr>
          <w:rFonts w:hint="eastAsia"/>
          <w:b w:val="0"/>
          <w:bCs/>
          <w:sz w:val="22"/>
          <w:szCs w:val="22"/>
          <w:lang w:val="en-US" w:eastAsia="zh-CN"/>
        </w:rPr>
        <w:t xml:space="preserve"> agreements regarding Te requirements were captured in the WF [1] and some of the content is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line="480" w:lineRule="auto"/>
              <w:rPr>
                <w:b/>
                <w:u w:val="single"/>
                <w:lang w:eastAsia="ko-KR"/>
              </w:rPr>
            </w:pPr>
            <w:r>
              <w:rPr>
                <w:b/>
                <w:u w:val="single"/>
                <w:lang w:eastAsia="ko-KR"/>
              </w:rPr>
              <w:t>UL Timing accuracy requirements</w:t>
            </w:r>
          </w:p>
          <w:p>
            <w:pPr>
              <w:pStyle w:val="26"/>
              <w:numPr>
                <w:ilvl w:val="0"/>
                <w:numId w:val="6"/>
              </w:numPr>
              <w:overflowPunct/>
              <w:autoSpaceDE/>
              <w:autoSpaceDN/>
              <w:adjustRightInd/>
              <w:spacing w:before="0"/>
              <w:contextualSpacing w:val="0"/>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Basic principles</w:t>
            </w:r>
          </w:p>
          <w:p>
            <w:pPr>
              <w:pStyle w:val="26"/>
              <w:numPr>
                <w:ilvl w:val="1"/>
                <w:numId w:val="6"/>
              </w:numPr>
              <w:overflowPunct/>
              <w:autoSpaceDE/>
              <w:autoSpaceDN/>
              <w:adjustRightInd/>
              <w:spacing w:before="0" w:line="252" w:lineRule="auto"/>
              <w:contextualSpacing w:val="0"/>
              <w:textAlignment w:val="auto"/>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FFS: Choose Te such that the condition T</w:t>
            </w:r>
            <w:r>
              <w:rPr>
                <w:iCs/>
                <w:color w:val="000000" w:themeColor="text1"/>
                <w:vertAlign w:val="subscript"/>
                <w:lang w:eastAsia="zh-CN"/>
                <w14:textFill>
                  <w14:solidFill>
                    <w14:schemeClr w14:val="tx1"/>
                  </w14:solidFill>
                </w14:textFill>
              </w:rPr>
              <w:t>CP</w:t>
            </w:r>
            <w:r>
              <w:rPr>
                <w:iCs/>
                <w:color w:val="000000" w:themeColor="text1"/>
                <w:lang w:eastAsia="zh-CN"/>
                <w14:textFill>
                  <w14:solidFill>
                    <w14:schemeClr w14:val="tx1"/>
                  </w14:solidFill>
                </w14:textFill>
              </w:rPr>
              <w:t xml:space="preserve"> - T</w:t>
            </w:r>
            <w:r>
              <w:rPr>
                <w:iCs/>
                <w:color w:val="000000" w:themeColor="text1"/>
                <w:vertAlign w:val="subscript"/>
                <w:lang w:eastAsia="zh-CN"/>
                <w14:textFill>
                  <w14:solidFill>
                    <w14:schemeClr w14:val="tx1"/>
                  </w14:solidFill>
                </w14:textFill>
              </w:rPr>
              <w:t>CH</w:t>
            </w:r>
            <w:r>
              <w:rPr>
                <w:iCs/>
                <w:color w:val="000000" w:themeColor="text1"/>
                <w:lang w:eastAsia="zh-CN"/>
                <w14:textFill>
                  <w14:solidFill>
                    <w14:schemeClr w14:val="tx1"/>
                  </w14:solidFill>
                </w14:textFill>
              </w:rPr>
              <w:t xml:space="preserve">  - 2 ( T</w:t>
            </w:r>
            <w:r>
              <w:rPr>
                <w:iCs/>
                <w:color w:val="000000" w:themeColor="text1"/>
                <w:vertAlign w:val="subscript"/>
                <w:lang w:eastAsia="zh-CN"/>
                <w14:textFill>
                  <w14:solidFill>
                    <w14:schemeClr w14:val="tx1"/>
                  </w14:solidFill>
                </w14:textFill>
              </w:rPr>
              <w:t>e</w:t>
            </w:r>
            <w:r>
              <w:rPr>
                <w:iCs/>
                <w:color w:val="000000" w:themeColor="text1"/>
                <w:lang w:eastAsia="zh-CN"/>
                <w14:textFill>
                  <w14:solidFill>
                    <w14:schemeClr w14:val="tx1"/>
                  </w14:solidFill>
                </w14:textFill>
              </w:rPr>
              <w:t xml:space="preserve"> + T</w:t>
            </w:r>
            <w:r>
              <w:rPr>
                <w:iCs/>
                <w:color w:val="000000" w:themeColor="text1"/>
                <w:vertAlign w:val="subscript"/>
                <w:lang w:eastAsia="zh-CN"/>
                <w14:textFill>
                  <w14:solidFill>
                    <w14:schemeClr w14:val="tx1"/>
                  </w14:solidFill>
                </w14:textFill>
              </w:rPr>
              <w:t>AC,Q</w:t>
            </w:r>
            <w:r>
              <w:rPr>
                <w:iCs/>
                <w:color w:val="000000" w:themeColor="text1"/>
                <w:lang w:eastAsia="zh-CN"/>
                <w14:textFill>
                  <w14:solidFill>
                    <w14:schemeClr w14:val="tx1"/>
                  </w14:solidFill>
                </w14:textFill>
              </w:rPr>
              <w:t xml:space="preserve"> /2 ) &gt; 0 holds</w:t>
            </w:r>
          </w:p>
          <w:p>
            <w:pPr>
              <w:pStyle w:val="26"/>
              <w:numPr>
                <w:ilvl w:val="1"/>
                <w:numId w:val="6"/>
              </w:numPr>
              <w:overflowPunct/>
              <w:autoSpaceDE/>
              <w:autoSpaceDN/>
              <w:adjustRightInd/>
              <w:spacing w:before="0" w:line="252" w:lineRule="auto"/>
              <w:contextualSpacing w:val="0"/>
              <w:textAlignment w:val="auto"/>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FFS: When defining the margin for the T</w:t>
            </w:r>
            <w:r>
              <w:rPr>
                <w:iCs/>
                <w:color w:val="000000" w:themeColor="text1"/>
                <w:vertAlign w:val="subscript"/>
                <w:lang w:eastAsia="zh-CN"/>
                <w14:textFill>
                  <w14:solidFill>
                    <w14:schemeClr w14:val="tx1"/>
                  </w14:solidFill>
                </w14:textFill>
              </w:rPr>
              <w:t>e</w:t>
            </w:r>
            <w:r>
              <w:rPr>
                <w:iCs/>
                <w:color w:val="000000" w:themeColor="text1"/>
                <w:lang w:eastAsia="zh-CN"/>
                <w14:textFill>
                  <w14:solidFill>
                    <w14:schemeClr w14:val="tx1"/>
                  </w14:solidFill>
                </w14:textFill>
              </w:rPr>
              <w:t xml:space="preserve"> calculation, discuss the values for maximum RMS channel delay spread for 480 kHz SCS, and 960 kHz SCS</w:t>
            </w:r>
          </w:p>
          <w:p>
            <w:pPr>
              <w:pStyle w:val="26"/>
              <w:numPr>
                <w:ilvl w:val="1"/>
                <w:numId w:val="6"/>
              </w:numPr>
              <w:overflowPunct/>
              <w:autoSpaceDE/>
              <w:autoSpaceDN/>
              <w:adjustRightInd/>
              <w:spacing w:before="0" w:line="252" w:lineRule="auto"/>
              <w:contextualSpacing w:val="0"/>
              <w:textAlignment w:val="auto"/>
              <w:rPr>
                <w:iCs/>
                <w:color w:val="000000" w:themeColor="text1"/>
                <w:lang w:eastAsia="zh-CN"/>
                <w14:textFill>
                  <w14:solidFill>
                    <w14:schemeClr w14:val="tx1"/>
                  </w14:solidFill>
                </w14:textFill>
              </w:rPr>
            </w:pPr>
            <w:r>
              <w:rPr>
                <w:iCs/>
                <w:color w:val="000000" w:themeColor="text1"/>
                <w:lang w:eastAsia="zh-CN"/>
                <w14:textFill>
                  <w14:solidFill>
                    <w14:schemeClr w14:val="tx1"/>
                  </w14:solidFill>
                </w14:textFill>
              </w:rPr>
              <w:t>FFS: Cases for which the UE cannot meet the Te requirements derived in the abovementioned manner.</w:t>
            </w:r>
          </w:p>
          <w:p>
            <w:pPr>
              <w:pStyle w:val="26"/>
              <w:numPr>
                <w:ilvl w:val="0"/>
                <w:numId w:val="6"/>
              </w:numPr>
              <w:spacing w:line="480" w:lineRule="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Percentage of UL CP length Te can occupy</w:t>
            </w:r>
          </w:p>
          <w:p>
            <w:pPr>
              <w:pStyle w:val="26"/>
              <w:numPr>
                <w:ilvl w:val="1"/>
                <w:numId w:val="6"/>
              </w:numPr>
              <w:spacing w:line="480" w:lineRule="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1: 40% - 50%</w:t>
            </w:r>
          </w:p>
          <w:p>
            <w:pPr>
              <w:pStyle w:val="26"/>
              <w:numPr>
                <w:ilvl w:val="1"/>
                <w:numId w:val="6"/>
              </w:numPr>
              <w:spacing w:line="480" w:lineRule="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2: 30% - 40%</w:t>
            </w:r>
          </w:p>
          <w:p>
            <w:pPr>
              <w:pStyle w:val="26"/>
              <w:numPr>
                <w:ilvl w:val="1"/>
                <w:numId w:val="6"/>
              </w:numPr>
              <w:spacing w:line="480" w:lineRule="auto"/>
              <w:rPr>
                <w:rFonts w:hint="eastAsia"/>
                <w:b w:val="0"/>
                <w:bCs/>
                <w:sz w:val="22"/>
                <w:szCs w:val="22"/>
                <w:vertAlign w:val="baseline"/>
                <w:lang w:val="en-US" w:eastAsia="zh-CN"/>
              </w:rPr>
            </w:pPr>
            <w:r>
              <w:rPr>
                <w:color w:val="000000" w:themeColor="text1"/>
                <w:szCs w:val="24"/>
                <w:lang w:eastAsia="zh-CN"/>
                <w14:textFill>
                  <w14:solidFill>
                    <w14:schemeClr w14:val="tx1"/>
                  </w14:solidFill>
                </w14:textFill>
              </w:rPr>
              <w:t>Option 3: &lt;30%</w:t>
            </w:r>
          </w:p>
          <w:p>
            <w:pPr>
              <w:pStyle w:val="26"/>
              <w:numPr>
                <w:ilvl w:val="0"/>
                <w:numId w:val="0"/>
              </w:numPr>
              <w:spacing w:line="480" w:lineRule="auto"/>
              <w:ind w:left="414" w:leftChars="0"/>
              <w:rPr>
                <w:color w:val="000000" w:themeColor="text1"/>
                <w:szCs w:val="24"/>
                <w:lang w:eastAsia="zh-CN"/>
                <w14:textFill>
                  <w14:solidFill>
                    <w14:schemeClr w14:val="tx1"/>
                  </w14:solidFill>
                </w14:textFill>
              </w:rPr>
            </w:pPr>
          </w:p>
          <w:p>
            <w:pPr>
              <w:pStyle w:val="26"/>
              <w:numPr>
                <w:ilvl w:val="0"/>
                <w:numId w:val="6"/>
              </w:numPr>
              <w:spacing w:line="480" w:lineRule="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Availability of SSB</w:t>
            </w:r>
          </w:p>
          <w:p>
            <w:pPr>
              <w:pStyle w:val="26"/>
              <w:numPr>
                <w:ilvl w:val="1"/>
                <w:numId w:val="6"/>
              </w:numPr>
              <w:spacing w:line="480" w:lineRule="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UL SCS of 480/960 kHz, a UE is required to meet the UL timing accuracy requirements if an SSB is available in the last X ms.</w:t>
            </w:r>
          </w:p>
          <w:p>
            <w:pPr>
              <w:pStyle w:val="26"/>
              <w:numPr>
                <w:ilvl w:val="2"/>
                <w:numId w:val="6"/>
              </w:numPr>
              <w:spacing w:line="480" w:lineRule="auto"/>
              <w:rPr>
                <w:rFonts w:hint="eastAsia"/>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FFS: [X = 20ms], [X = 40ms], [X=TBD]</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options listed above.</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In general, we think that Te requirement is critical to maintain UL transmissions and it ensures the overall performance of not only one UE, but potentially the network and also other UEs. Current Te requirements are derived based on SCS and CP length, and we see it reasonable to re-use the current percentage and formulation.</w:t>
      </w:r>
    </w:p>
    <w:p>
      <w:pPr>
        <w:pStyle w:val="36"/>
        <w:rPr>
          <w:rFonts w:hint="eastAsia"/>
          <w:lang w:val="en-US" w:eastAsia="zh-CN"/>
        </w:rPr>
      </w:pPr>
      <w:r>
        <w:rPr>
          <w:rFonts w:hint="eastAsia" w:eastAsia="宋体"/>
          <w:sz w:val="22"/>
          <w:szCs w:val="22"/>
          <w:lang w:val="en-US" w:eastAsia="zh-CN"/>
        </w:rPr>
        <w:t>Keep the Te within the same percentage of the CP length as existing SCS (&lt; 30%).</w:t>
      </w:r>
    </w:p>
    <w:p>
      <w:pPr>
        <w:rPr>
          <w:rFonts w:hint="default" w:eastAsia="宋体"/>
          <w:sz w:val="22"/>
          <w:szCs w:val="22"/>
          <w:lang w:val="en-US" w:eastAsia="zh-CN"/>
        </w:rPr>
      </w:pPr>
      <w:r>
        <w:rPr>
          <w:rFonts w:hint="eastAsia" w:eastAsia="宋体"/>
          <w:sz w:val="22"/>
          <w:szCs w:val="22"/>
          <w:lang w:val="en-US" w:eastAsia="zh-CN"/>
        </w:rPr>
        <w:t>However, as pointed out by some companies, there might be technical challenges such that a part of Te is not proportional to SCS and thus cannot be decreased automatically as SCS increases. Since current Te requirements indicate a percentage of UL CP of around 20%, it is also reasonable to relax to 30% depending on UE implementations.</w:t>
      </w:r>
    </w:p>
    <w:p>
      <w:pPr>
        <w:pStyle w:val="36"/>
        <w:rPr>
          <w:rFonts w:hint="default" w:eastAsia="宋体"/>
          <w:sz w:val="22"/>
          <w:szCs w:val="22"/>
          <w:lang w:val="en-US" w:eastAsia="zh-CN"/>
        </w:rPr>
      </w:pPr>
      <w:r>
        <w:rPr>
          <w:rFonts w:hint="eastAsia" w:eastAsia="宋体"/>
          <w:sz w:val="22"/>
          <w:szCs w:val="22"/>
          <w:lang w:val="en-US" w:eastAsia="zh-CN"/>
        </w:rPr>
        <w:t>Te can occupy 30% of UL CP length if UE implementations are proven to be impossible to keep current Te requirements.</w:t>
      </w:r>
    </w:p>
    <w:p>
      <w:pPr>
        <w:rPr>
          <w:rFonts w:hint="eastAsia" w:eastAsia="宋体"/>
          <w:sz w:val="22"/>
          <w:szCs w:val="22"/>
          <w:lang w:val="en-US" w:eastAsia="zh-CN"/>
        </w:rPr>
      </w:pPr>
    </w:p>
    <w:p>
      <w:pPr>
        <w:rPr>
          <w:rFonts w:hint="eastAsia" w:eastAsia="宋体"/>
          <w:sz w:val="22"/>
          <w:szCs w:val="22"/>
          <w:lang w:val="en-US" w:eastAsia="zh-CN"/>
        </w:rPr>
      </w:pPr>
      <w:r>
        <w:rPr>
          <w:rFonts w:hint="eastAsia" w:eastAsia="宋体"/>
          <w:sz w:val="22"/>
          <w:szCs w:val="22"/>
          <w:lang w:val="en-US" w:eastAsia="zh-CN"/>
        </w:rPr>
        <w:t>As to the availability of SSBs, we think that having separate set of Te requirements for different SSB periodicity makes sense. If X is at most 40 ms, then when the SSB periodicity is larger than 40 ms then there will be no requirements for the UE. Thus, we suggest to define at least two sets of Te requirements based on SSB periodicity for UL SCS of 480/960 kHz.</w:t>
      </w:r>
    </w:p>
    <w:p>
      <w:pPr>
        <w:pStyle w:val="36"/>
        <w:rPr>
          <w:rFonts w:hint="default" w:eastAsia="宋体"/>
          <w:sz w:val="22"/>
          <w:szCs w:val="22"/>
          <w:lang w:val="en-US" w:eastAsia="zh-CN"/>
        </w:rPr>
      </w:pPr>
      <w:r>
        <w:rPr>
          <w:rFonts w:hint="eastAsia" w:eastAsia="宋体"/>
          <w:sz w:val="22"/>
          <w:szCs w:val="22"/>
          <w:lang w:val="en-US" w:eastAsia="zh-CN"/>
        </w:rPr>
        <w:t xml:space="preserve">Define at least two sets of Te requirements based on SSB periodicity for UL SCS of 480/960 kHz. At least two Te can be defined based on the assumption that </w:t>
      </w:r>
      <w:r>
        <w:rPr>
          <w:color w:val="000000" w:themeColor="text1"/>
          <w:szCs w:val="24"/>
          <w:lang w:eastAsia="zh-CN"/>
          <w14:textFill>
            <w14:solidFill>
              <w14:schemeClr w14:val="tx1"/>
            </w14:solidFill>
          </w14:textFill>
        </w:rPr>
        <w:t xml:space="preserve">if an SSB is available in the last </w:t>
      </w:r>
      <w:r>
        <w:rPr>
          <w:rFonts w:hint="eastAsia"/>
          <w:color w:val="000000" w:themeColor="text1"/>
          <w:szCs w:val="24"/>
          <w:lang w:val="en-US" w:eastAsia="zh-CN"/>
          <w14:textFill>
            <w14:solidFill>
              <w14:schemeClr w14:val="tx1"/>
            </w14:solidFill>
          </w14:textFill>
        </w:rPr>
        <w:t>40 ms and 160</w:t>
      </w:r>
      <w:r>
        <w:rPr>
          <w:color w:val="000000" w:themeColor="text1"/>
          <w:szCs w:val="24"/>
          <w:lang w:eastAsia="zh-CN"/>
          <w14:textFill>
            <w14:solidFill>
              <w14:schemeClr w14:val="tx1"/>
            </w14:solidFill>
          </w14:textFill>
        </w:rPr>
        <w:t xml:space="preserve"> ms.</w:t>
      </w:r>
    </w:p>
    <w:p>
      <w:pPr>
        <w:pStyle w:val="28"/>
        <w:jc w:val="both"/>
      </w:pPr>
      <w:r>
        <w:rPr>
          <w:rFonts w:hint="eastAsia"/>
          <w:lang w:val="en-US" w:eastAsia="zh-CN"/>
        </w:rPr>
        <w:t>3</w:t>
      </w:r>
      <w:r>
        <w:tab/>
      </w:r>
      <w:r>
        <w:t>Conclusion</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 xml:space="preserve">Proposal 1: </w:t>
      </w:r>
      <w:r>
        <w:rPr>
          <w:rFonts w:hint="eastAsia" w:eastAsia="宋体"/>
          <w:sz w:val="22"/>
          <w:szCs w:val="22"/>
          <w:lang w:val="en-US" w:eastAsia="zh-CN"/>
        </w:rPr>
        <w:t>Keep the Te within the same percentage of the CP length as existing SCS (&lt; 30%).</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 xml:space="preserve">Proposal 2: </w:t>
      </w:r>
      <w:r>
        <w:rPr>
          <w:rFonts w:hint="eastAsia" w:eastAsia="宋体"/>
          <w:sz w:val="22"/>
          <w:szCs w:val="22"/>
          <w:lang w:val="en-US" w:eastAsia="zh-CN"/>
        </w:rPr>
        <w:t>Te can occupy 30% of UL CP length if UE implementations are proven to be impossible to keep current Te requirements.</w:t>
      </w:r>
    </w:p>
    <w:p>
      <w:pPr>
        <w:pStyle w:val="36"/>
        <w:numPr>
          <w:ilvl w:val="0"/>
          <w:numId w:val="0"/>
        </w:numPr>
        <w:ind w:leftChars="0"/>
        <w:rPr>
          <w:rFonts w:hint="eastAsia"/>
          <w:lang w:val="en-US" w:eastAsia="zh-CN"/>
        </w:rPr>
      </w:pPr>
      <w:r>
        <w:rPr>
          <w:rFonts w:hint="eastAsia"/>
          <w:b/>
          <w:bCs w:val="0"/>
          <w:sz w:val="22"/>
          <w:szCs w:val="22"/>
          <w:lang w:val="en-US" w:eastAsia="zh-CN"/>
        </w:rPr>
        <w:t xml:space="preserve">Proposal 3: </w:t>
      </w:r>
      <w:r>
        <w:rPr>
          <w:rFonts w:hint="eastAsia" w:eastAsia="宋体"/>
          <w:sz w:val="22"/>
          <w:szCs w:val="22"/>
          <w:lang w:val="en-US" w:eastAsia="zh-CN"/>
        </w:rPr>
        <w:t xml:space="preserve">Define at least two sets of Te requirements based on SSB periodicity for UL SCS of 480/960 kHz. At least two Te can be defined based on the assumption that </w:t>
      </w:r>
      <w:r>
        <w:rPr>
          <w:color w:val="000000" w:themeColor="text1"/>
          <w:szCs w:val="24"/>
          <w:lang w:eastAsia="zh-CN"/>
          <w14:textFill>
            <w14:solidFill>
              <w14:schemeClr w14:val="tx1"/>
            </w14:solidFill>
          </w14:textFill>
        </w:rPr>
        <w:t xml:space="preserve">if an SSB is available in the last </w:t>
      </w:r>
      <w:r>
        <w:rPr>
          <w:rFonts w:hint="eastAsia"/>
          <w:color w:val="000000" w:themeColor="text1"/>
          <w:szCs w:val="24"/>
          <w:lang w:val="en-US" w:eastAsia="zh-CN"/>
          <w14:textFill>
            <w14:solidFill>
              <w14:schemeClr w14:val="tx1"/>
            </w14:solidFill>
          </w14:textFill>
        </w:rPr>
        <w:t>40 ms and 160</w:t>
      </w:r>
      <w:r>
        <w:rPr>
          <w:color w:val="000000" w:themeColor="text1"/>
          <w:szCs w:val="24"/>
          <w:lang w:eastAsia="zh-CN"/>
          <w14:textFill>
            <w14:solidFill>
              <w14:schemeClr w14:val="tx1"/>
            </w14:solidFill>
          </w14:textFill>
        </w:rPr>
        <w:t xml:space="preserve"> ms.</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R4-2120316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8A34C56"/>
    <w:multiLevelType w:val="multilevel"/>
    <w:tmpl w:val="48A34C56"/>
    <w:lvl w:ilvl="0" w:tentative="0">
      <w:start w:val="1"/>
      <w:numFmt w:val="bullet"/>
      <w:lvlText w:val=""/>
      <w:lvlJc w:val="left"/>
      <w:pPr>
        <w:ind w:left="774" w:hanging="360"/>
      </w:pPr>
      <w:rPr>
        <w:rFonts w:hint="default" w:ascii="Symbol" w:hAnsi="Symbol"/>
      </w:rPr>
    </w:lvl>
    <w:lvl w:ilvl="1" w:tentative="0">
      <w:start w:val="1"/>
      <w:numFmt w:val="bullet"/>
      <w:lvlText w:val="o"/>
      <w:lvlJc w:val="left"/>
      <w:pPr>
        <w:ind w:left="1494" w:hanging="360"/>
      </w:pPr>
      <w:rPr>
        <w:rFonts w:hint="default" w:ascii="Courier New" w:hAnsi="Courier New" w:cs="Courier New"/>
      </w:rPr>
    </w:lvl>
    <w:lvl w:ilvl="2" w:tentative="0">
      <w:start w:val="1"/>
      <w:numFmt w:val="bullet"/>
      <w:lvlText w:val=""/>
      <w:lvlJc w:val="left"/>
      <w:pPr>
        <w:ind w:left="2214" w:hanging="360"/>
      </w:pPr>
      <w:rPr>
        <w:rFonts w:hint="default" w:ascii="Wingdings" w:hAnsi="Wingdings"/>
      </w:rPr>
    </w:lvl>
    <w:lvl w:ilvl="3" w:tentative="0">
      <w:start w:val="1"/>
      <w:numFmt w:val="bullet"/>
      <w:lvlText w:val=""/>
      <w:lvlJc w:val="left"/>
      <w:pPr>
        <w:ind w:left="2934" w:hanging="360"/>
      </w:pPr>
      <w:rPr>
        <w:rFonts w:hint="default" w:ascii="Symbol" w:hAnsi="Symbol"/>
      </w:rPr>
    </w:lvl>
    <w:lvl w:ilvl="4" w:tentative="0">
      <w:start w:val="1"/>
      <w:numFmt w:val="bullet"/>
      <w:lvlText w:val="o"/>
      <w:lvlJc w:val="left"/>
      <w:pPr>
        <w:ind w:left="3654" w:hanging="360"/>
      </w:pPr>
      <w:rPr>
        <w:rFonts w:hint="default" w:ascii="Courier New" w:hAnsi="Courier New" w:cs="Courier New"/>
      </w:rPr>
    </w:lvl>
    <w:lvl w:ilvl="5" w:tentative="0">
      <w:start w:val="1"/>
      <w:numFmt w:val="bullet"/>
      <w:lvlText w:val=""/>
      <w:lvlJc w:val="left"/>
      <w:pPr>
        <w:ind w:left="4374" w:hanging="360"/>
      </w:pPr>
      <w:rPr>
        <w:rFonts w:hint="default" w:ascii="Wingdings" w:hAnsi="Wingdings"/>
      </w:rPr>
    </w:lvl>
    <w:lvl w:ilvl="6" w:tentative="0">
      <w:start w:val="1"/>
      <w:numFmt w:val="bullet"/>
      <w:lvlText w:val=""/>
      <w:lvlJc w:val="left"/>
      <w:pPr>
        <w:ind w:left="5094" w:hanging="360"/>
      </w:pPr>
      <w:rPr>
        <w:rFonts w:hint="default" w:ascii="Symbol" w:hAnsi="Symbol"/>
      </w:rPr>
    </w:lvl>
    <w:lvl w:ilvl="7" w:tentative="0">
      <w:start w:val="1"/>
      <w:numFmt w:val="bullet"/>
      <w:lvlText w:val="o"/>
      <w:lvlJc w:val="left"/>
      <w:pPr>
        <w:ind w:left="5814" w:hanging="360"/>
      </w:pPr>
      <w:rPr>
        <w:rFonts w:hint="default" w:ascii="Courier New" w:hAnsi="Courier New" w:cs="Courier New"/>
      </w:rPr>
    </w:lvl>
    <w:lvl w:ilvl="8" w:tentative="0">
      <w:start w:val="1"/>
      <w:numFmt w:val="bullet"/>
      <w:lvlText w:val=""/>
      <w:lvlJc w:val="left"/>
      <w:pPr>
        <w:ind w:left="6534" w:hanging="360"/>
      </w:pPr>
      <w:rPr>
        <w:rFonts w:hint="default" w:ascii="Wingdings" w:hAnsi="Wingdings"/>
      </w:r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2D477EA"/>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04013C"/>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C276D"/>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9B681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531E5"/>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EC2A4E"/>
    <w:rsid w:val="3609585B"/>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0F491B"/>
    <w:rsid w:val="3B164016"/>
    <w:rsid w:val="3B30671A"/>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37291"/>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82125"/>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05665"/>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045299"/>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D8D38EA"/>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442C4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2FB5D9F"/>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 w:val="7F99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